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6" w:type="dxa"/>
        <w:tblLayout w:type="fixed"/>
        <w:tblLook w:val="0000"/>
      </w:tblPr>
      <w:tblGrid>
        <w:gridCol w:w="817"/>
        <w:gridCol w:w="1843"/>
        <w:gridCol w:w="8146"/>
      </w:tblGrid>
      <w:tr w:rsidR="00CE539C" w:rsidRPr="002E5C3A" w:rsidTr="00294F16">
        <w:tc>
          <w:tcPr>
            <w:tcW w:w="817" w:type="dxa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Основна школа „Слободан Бајић Паја“</w:t>
            </w:r>
          </w:p>
        </w:tc>
      </w:tr>
      <w:tr w:rsidR="00CE539C" w:rsidRPr="002E5C3A" w:rsidTr="00294F16">
        <w:tc>
          <w:tcPr>
            <w:tcW w:w="817" w:type="dxa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Фрушкогорска бб</w:t>
            </w:r>
          </w:p>
        </w:tc>
      </w:tr>
      <w:tr w:rsidR="00CE539C" w:rsidRPr="002E5C3A" w:rsidTr="00294F16">
        <w:tc>
          <w:tcPr>
            <w:tcW w:w="817" w:type="dxa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CE539C" w:rsidRPr="002E5C3A" w:rsidTr="00294F16">
        <w:tc>
          <w:tcPr>
            <w:tcW w:w="817" w:type="dxa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</w:pPr>
            <w:r w:rsidRPr="002E5C3A">
              <w:rPr>
                <w:sz w:val="22"/>
                <w:szCs w:val="22"/>
              </w:rPr>
              <w:t>12/3-14</w:t>
            </w:r>
          </w:p>
        </w:tc>
      </w:tr>
      <w:tr w:rsidR="00CE539C" w:rsidRPr="002E5C3A" w:rsidTr="00294F16">
        <w:tc>
          <w:tcPr>
            <w:tcW w:w="817" w:type="dxa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9C" w:rsidRPr="002E5C3A" w:rsidRDefault="00CE539C" w:rsidP="00294F16">
            <w:pPr>
              <w:snapToGrid w:val="0"/>
              <w:rPr>
                <w:lang w:val="sr-Cyrl-CS"/>
              </w:rPr>
            </w:pPr>
            <w:r w:rsidRPr="002E5C3A">
              <w:rPr>
                <w:sz w:val="22"/>
                <w:szCs w:val="22"/>
              </w:rPr>
              <w:t>19.03.2019</w:t>
            </w:r>
            <w:r w:rsidRPr="002E5C3A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CE539C" w:rsidRPr="002E5C3A" w:rsidRDefault="00CE539C" w:rsidP="00CE539C">
      <w:pPr>
        <w:jc w:val="both"/>
        <w:rPr>
          <w:sz w:val="22"/>
          <w:szCs w:val="22"/>
        </w:rPr>
      </w:pPr>
    </w:p>
    <w:p w:rsidR="00CE539C" w:rsidRPr="002E5C3A" w:rsidRDefault="00CE539C" w:rsidP="00CE539C">
      <w:pPr>
        <w:jc w:val="both"/>
        <w:rPr>
          <w:u w:val="single"/>
        </w:rPr>
      </w:pPr>
    </w:p>
    <w:p w:rsidR="00CE539C" w:rsidRPr="002E5C3A" w:rsidRDefault="00CE539C" w:rsidP="00CE539C">
      <w:pPr>
        <w:jc w:val="center"/>
        <w:rPr>
          <w:b/>
          <w:bCs/>
          <w:iCs/>
        </w:rPr>
      </w:pPr>
    </w:p>
    <w:p w:rsidR="00CE539C" w:rsidRPr="002E5C3A" w:rsidRDefault="00CE539C" w:rsidP="00CE539C">
      <w:pPr>
        <w:jc w:val="center"/>
        <w:rPr>
          <w:b/>
          <w:bCs/>
          <w:i/>
          <w:iCs/>
          <w:lang w:val="sr-Cyrl-CS"/>
        </w:rPr>
      </w:pPr>
      <w:r w:rsidRPr="002E5C3A">
        <w:rPr>
          <w:b/>
          <w:bCs/>
          <w:iCs/>
        </w:rPr>
        <w:t xml:space="preserve">ОКВИРНИ СПОРАЗУМ О ИЗВРШЕЊУ </w:t>
      </w:r>
      <w:r w:rsidRPr="002E5C3A">
        <w:rPr>
          <w:b/>
          <w:bCs/>
        </w:rPr>
        <w:t xml:space="preserve">УСЛУГЕ ОРГАНИЗАЦИЈЕ И РЕАЛИЗАЦИЈЕ ЕКСКУРЗИЈА И  </w:t>
      </w:r>
    </w:p>
    <w:p w:rsidR="00CE539C" w:rsidRPr="002E5C3A" w:rsidRDefault="00CE539C" w:rsidP="00CE539C">
      <w:pPr>
        <w:rPr>
          <w:i/>
          <w:iCs/>
          <w:lang w:val="sr-Cyrl-CS"/>
        </w:rPr>
      </w:pPr>
    </w:p>
    <w:p w:rsidR="00CE539C" w:rsidRPr="002E5C3A" w:rsidRDefault="00CE539C" w:rsidP="00CE539C">
      <w:pPr>
        <w:rPr>
          <w:b/>
          <w:iCs/>
          <w:lang w:val="sr-Cyrl-CS"/>
        </w:rPr>
      </w:pPr>
      <w:r w:rsidRPr="002E5C3A">
        <w:rPr>
          <w:b/>
          <w:iCs/>
        </w:rPr>
        <w:t>Закључен између:</w:t>
      </w:r>
    </w:p>
    <w:p w:rsidR="00CE539C" w:rsidRPr="002E5C3A" w:rsidRDefault="00CE539C" w:rsidP="00CE539C">
      <w:pPr>
        <w:rPr>
          <w:iCs/>
          <w:lang w:val="sr-Cyrl-CS"/>
        </w:rPr>
      </w:pPr>
    </w:p>
    <w:p w:rsidR="00CE539C" w:rsidRPr="002E5C3A" w:rsidRDefault="00CE539C" w:rsidP="00CE539C">
      <w:pPr>
        <w:jc w:val="both"/>
      </w:pPr>
      <w:r w:rsidRPr="002E5C3A">
        <w:rPr>
          <w:b/>
          <w:iCs/>
          <w:lang w:val="sr-Cyrl-CS"/>
        </w:rPr>
        <w:t xml:space="preserve">ОСНОВНЕ ШКОЛЕ „СЛОБОДАН БАЈИЋ ПАЈА“ </w:t>
      </w:r>
      <w:r w:rsidRPr="002E5C3A">
        <w:rPr>
          <w:iCs/>
        </w:rPr>
        <w:t>са седиштем у</w:t>
      </w:r>
      <w:r w:rsidRPr="002E5C3A">
        <w:rPr>
          <w:iCs/>
          <w:lang w:val="sr-Cyrl-CS"/>
        </w:rPr>
        <w:t xml:space="preserve"> Сремској Митровици, Фрушкогорска бб</w:t>
      </w:r>
      <w:r w:rsidRPr="002E5C3A">
        <w:rPr>
          <w:iCs/>
        </w:rPr>
        <w:t>,</w:t>
      </w:r>
      <w:r w:rsidRPr="002E5C3A">
        <w:rPr>
          <w:iCs/>
          <w:lang w:val="sr-Cyrl-CS"/>
        </w:rPr>
        <w:t xml:space="preserve"> </w:t>
      </w:r>
      <w:r w:rsidRPr="002E5C3A">
        <w:t xml:space="preserve">Матични број: </w:t>
      </w:r>
      <w:r w:rsidRPr="002E5C3A">
        <w:rPr>
          <w:rStyle w:val="bold"/>
        </w:rPr>
        <w:t xml:space="preserve">08015678, </w:t>
      </w:r>
      <w:r w:rsidRPr="002E5C3A">
        <w:t xml:space="preserve">ПИБ: </w:t>
      </w:r>
      <w:r w:rsidRPr="002E5C3A">
        <w:rPr>
          <w:rStyle w:val="bold"/>
        </w:rPr>
        <w:t>100517522</w:t>
      </w:r>
      <w:r w:rsidRPr="002E5C3A">
        <w:t xml:space="preserve">, </w:t>
      </w:r>
      <w:r w:rsidRPr="002E5C3A">
        <w:rPr>
          <w:iCs/>
        </w:rPr>
        <w:t>ко</w:t>
      </w:r>
      <w:r w:rsidRPr="002E5C3A">
        <w:rPr>
          <w:iCs/>
          <w:lang w:val="sr-Cyrl-CS"/>
        </w:rPr>
        <w:t>ју</w:t>
      </w:r>
      <w:r w:rsidRPr="002E5C3A">
        <w:rPr>
          <w:iCs/>
        </w:rPr>
        <w:t xml:space="preserve"> заступа</w:t>
      </w:r>
      <w:r w:rsidRPr="002E5C3A">
        <w:rPr>
          <w:iCs/>
          <w:lang w:val="sr-Cyrl-CS"/>
        </w:rPr>
        <w:t xml:space="preserve"> </w:t>
      </w:r>
      <w:r w:rsidRPr="002E5C3A">
        <w:rPr>
          <w:iCs/>
          <w:color w:val="auto"/>
          <w:lang w:val="sr-Cyrl-CS"/>
        </w:rPr>
        <w:t>директор</w:t>
      </w:r>
      <w:r w:rsidRPr="002E5C3A">
        <w:rPr>
          <w:iCs/>
          <w:color w:val="auto"/>
        </w:rPr>
        <w:t xml:space="preserve"> Ђорђе Цвијановић</w:t>
      </w:r>
      <w:r w:rsidRPr="002E5C3A">
        <w:rPr>
          <w:iCs/>
        </w:rPr>
        <w:t xml:space="preserve"> (у даљем тексту: </w:t>
      </w:r>
      <w:r w:rsidRPr="002E5C3A">
        <w:rPr>
          <w:bCs/>
          <w:iCs/>
          <w:lang w:val="sr-Cyrl-CS"/>
        </w:rPr>
        <w:t>наручилац)</w:t>
      </w:r>
    </w:p>
    <w:p w:rsidR="00CE539C" w:rsidRPr="002E5C3A" w:rsidRDefault="00CE539C" w:rsidP="00CE539C">
      <w:pPr>
        <w:rPr>
          <w:iCs/>
        </w:rPr>
      </w:pPr>
      <w:r w:rsidRPr="002E5C3A">
        <w:rPr>
          <w:iCs/>
        </w:rPr>
        <w:t>и</w:t>
      </w:r>
    </w:p>
    <w:p w:rsidR="00CE539C" w:rsidRPr="002E5C3A" w:rsidRDefault="00CE539C" w:rsidP="00CE539C">
      <w:pPr>
        <w:rPr>
          <w:sz w:val="22"/>
          <w:szCs w:val="22"/>
        </w:rPr>
      </w:pPr>
      <w:r w:rsidRPr="002E5C3A">
        <w:rPr>
          <w:b/>
          <w:sz w:val="22"/>
          <w:szCs w:val="22"/>
        </w:rPr>
        <w:t>„</w:t>
      </w:r>
      <w:r w:rsidRPr="002E5C3A">
        <w:rPr>
          <w:sz w:val="22"/>
          <w:szCs w:val="22"/>
        </w:rPr>
        <w:t xml:space="preserve">Одисеј 1995“ д.о.о. са седиђтем иу Новој Пазови, улица Краља Петра Првог Карађорђевића 45, </w:t>
      </w:r>
    </w:p>
    <w:p w:rsidR="00CE539C" w:rsidRPr="002E5C3A" w:rsidRDefault="00CE539C" w:rsidP="00CE539C">
      <w:pPr>
        <w:rPr>
          <w:iCs/>
          <w:color w:val="C00000"/>
        </w:rPr>
      </w:pPr>
      <w:r w:rsidRPr="002E5C3A">
        <w:rPr>
          <w:iCs/>
          <w:color w:val="C00000"/>
        </w:rPr>
        <w:t>ПИБ:100532780; Матични број: 08718741, кога заступа Зорица Пантовић, директор</w:t>
      </w:r>
    </w:p>
    <w:p w:rsidR="00CE539C" w:rsidRPr="002E5C3A" w:rsidRDefault="00CE539C" w:rsidP="00CE539C">
      <w:pPr>
        <w:rPr>
          <w:iCs/>
          <w:color w:val="C00000"/>
        </w:rPr>
      </w:pPr>
      <w:r w:rsidRPr="002E5C3A">
        <w:rPr>
          <w:iCs/>
          <w:color w:val="C00000"/>
        </w:rPr>
        <w:t>(у</w:t>
      </w:r>
      <w:r w:rsidRPr="002E5C3A">
        <w:rPr>
          <w:iCs/>
          <w:color w:val="C00000"/>
          <w:lang w:val="sr-Cyrl-CS"/>
        </w:rPr>
        <w:t xml:space="preserve"> </w:t>
      </w:r>
      <w:r w:rsidRPr="002E5C3A">
        <w:rPr>
          <w:iCs/>
          <w:color w:val="C00000"/>
        </w:rPr>
        <w:t xml:space="preserve">даљем тексту: </w:t>
      </w:r>
      <w:r w:rsidRPr="002E5C3A">
        <w:rPr>
          <w:bCs/>
          <w:iCs/>
          <w:color w:val="C00000"/>
          <w:lang w:val="sr-Cyrl-CS"/>
        </w:rPr>
        <w:t>испоручилац</w:t>
      </w:r>
      <w:r w:rsidRPr="002E5C3A">
        <w:rPr>
          <w:iCs/>
          <w:color w:val="C00000"/>
        </w:rPr>
        <w:t>),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  <w:rPr>
          <w:color w:val="C00000"/>
        </w:rPr>
      </w:pPr>
      <w:r w:rsidRPr="002E5C3A">
        <w:rPr>
          <w:color w:val="C00000"/>
        </w:rPr>
        <w:t xml:space="preserve">Стране у </w:t>
      </w:r>
      <w:r w:rsidRPr="002E5C3A">
        <w:rPr>
          <w:color w:val="C00000"/>
          <w:spacing w:val="-5"/>
        </w:rPr>
        <w:t>уговору</w:t>
      </w:r>
      <w:r w:rsidRPr="002E5C3A">
        <w:rPr>
          <w:color w:val="C00000"/>
        </w:rPr>
        <w:t xml:space="preserve"> сагласно констатују: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  <w:rPr>
          <w:lang w:val="sr-Cyrl-CS"/>
        </w:rPr>
      </w:pPr>
      <w:r w:rsidRPr="002E5C3A">
        <w:t xml:space="preserve">-да је Наручилац у складу са Законом о јавним набавкама („Службени гласник РС“, бр. 124/12, 14/15 и 68/15; у даљем тексту: Закон) спровео поступак јавне набавке мале вредности са циљем закључења </w:t>
      </w:r>
      <w:r w:rsidRPr="002E5C3A">
        <w:rPr>
          <w:lang w:val="sr-Cyrl-CS"/>
        </w:rPr>
        <w:t>оквирног споразума</w:t>
      </w:r>
      <w:r w:rsidRPr="002E5C3A">
        <w:t xml:space="preserve"> у поступку јавне набавке број </w:t>
      </w:r>
      <w:r w:rsidRPr="002E5C3A">
        <w:rPr>
          <w:color w:val="auto"/>
        </w:rPr>
        <w:t>03/19</w:t>
      </w:r>
      <w:r w:rsidRPr="002E5C3A">
        <w:rPr>
          <w:lang w:val="sr-Cyrl-CS"/>
        </w:rPr>
        <w:t>;</w:t>
      </w:r>
      <w:r w:rsidRPr="002E5C3A">
        <w:t xml:space="preserve">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-да је Наручилац донео Одлуку о </w:t>
      </w:r>
      <w:r w:rsidRPr="002E5C3A">
        <w:rPr>
          <w:lang w:val="sr-Cyrl-CS"/>
        </w:rPr>
        <w:t>закључењу оквирног споразума</w:t>
      </w:r>
      <w:r w:rsidRPr="002E5C3A">
        <w:t xml:space="preserve"> број 11/3-13 од 19.03.2019. године, у складу са којом се закључује овај </w:t>
      </w:r>
      <w:r w:rsidRPr="002E5C3A">
        <w:rPr>
          <w:lang w:val="sr-Cyrl-CS"/>
        </w:rPr>
        <w:t>оквирни споразум</w:t>
      </w:r>
      <w:r w:rsidRPr="002E5C3A">
        <w:rPr>
          <w:spacing w:val="-5"/>
        </w:rPr>
        <w:t xml:space="preserve"> </w:t>
      </w:r>
      <w:r w:rsidRPr="002E5C3A">
        <w:t>између Наручиоца  и Испоручиоца;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-да је Испоручилац доставио Понуду бр. 36 од 14.03.2019.године, која чини саставни део овог оквирног споразума (у даљем тексту: Понуда Испоручиоца).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  <w:rPr>
          <w:lang w:val="sr-Cyrl-CS"/>
        </w:rPr>
      </w:pPr>
      <w:r w:rsidRPr="002E5C3A">
        <w:t>Стране у споразуму споразумеле су се о следећем: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  <w:rPr>
          <w:lang w:val="sr-Cyrl-CS"/>
        </w:rPr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ПРЕДМЕТ ОКВИРНОГ СПОРАЗУМА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Предмет оквирног споразума је пружање услуга извођења наставе у природи ученика млађих разреда наручиоца, у складу са условима из конкурсне документације за јавну набавку број </w:t>
      </w:r>
      <w:r w:rsidRPr="002E5C3A">
        <w:rPr>
          <w:color w:val="auto"/>
          <w:lang w:val="sr-Cyrl-CS"/>
        </w:rPr>
        <w:t>03/19</w:t>
      </w:r>
      <w:r w:rsidRPr="002E5C3A">
        <w:t>, Понудом Испоручиоца  бр.36 и  одредбама овог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Детаљна спецификација услуга дата је у прилогу </w:t>
      </w:r>
      <w:r w:rsidRPr="002E5C3A">
        <w:rPr>
          <w:lang w:val="sr-Cyrl-CS"/>
        </w:rPr>
        <w:t>понуде</w:t>
      </w:r>
      <w:r w:rsidRPr="002E5C3A">
        <w:t xml:space="preserve"> и чини саставни део</w:t>
      </w:r>
      <w:r w:rsidRPr="002E5C3A">
        <w:rPr>
          <w:lang w:val="sr-Cyrl-CS"/>
        </w:rPr>
        <w:t xml:space="preserve"> оквирног споразума</w:t>
      </w:r>
      <w:r w:rsidRPr="002E5C3A">
        <w:t xml:space="preserve">.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Ради пружања услуга које су предмет овог оквирног споразума, Испоручилац се обавезује да изврши припрему, организује и реализује путовање и остале услуге из члана 1. овог оквирног споразума, сходно временском периоду наведеном у програму путовања, као и све друго неопходно за потпуно извршење услуга који су предмет овог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Спецификација услуга са јединичним ценама, дата је у прилогу </w:t>
      </w:r>
      <w:r w:rsidRPr="002E5C3A">
        <w:rPr>
          <w:lang w:val="sr-Cyrl-CS"/>
        </w:rPr>
        <w:t xml:space="preserve">понуде и чини саставни део </w:t>
      </w:r>
      <w:r w:rsidRPr="002E5C3A">
        <w:t xml:space="preserve">оквирног споразума. Стварне количине ће се дефинисати у </w:t>
      </w:r>
      <w:r w:rsidRPr="002E5C3A">
        <w:rPr>
          <w:lang w:val="sr-Cyrl-CS"/>
        </w:rPr>
        <w:t>уговору о јавној набавци који ће бити закључен по одредбама овог оквирног споразума</w:t>
      </w:r>
      <w:r w:rsidRPr="002E5C3A">
        <w:t xml:space="preserve">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lastRenderedPageBreak/>
        <w:t>ВАЖЕЊЕ ОКВИРНОГ СПОРАЗУМА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2.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Овај оквирни споразум се закључује на период од 1 (једне) године, а ступа на снагу даном обостраног потписивања.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Током периода важења овог оквирног споразума, предвиђа се закључивање </w:t>
      </w:r>
      <w:r w:rsidRPr="002E5C3A">
        <w:rPr>
          <w:lang w:val="sr-Cyrl-CS"/>
        </w:rPr>
        <w:t>једног уговора о јавној набавци</w:t>
      </w:r>
      <w:r w:rsidRPr="002E5C3A">
        <w:t>, у зависности од стварних потреба Наручиоца.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  <w:rPr>
          <w:lang w:val="sr-Cyrl-CS"/>
        </w:rPr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ВРЕДНОСТ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3.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Цена по ученику износи 17.990,00 динара са урачунатим ПДВ-ом.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ПДВ ће се регулисати сходно законским прописима из дате области.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Цене су фиксне и не могу се мењати са време важења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 xml:space="preserve">НАЧИН И УСЛОВИ ЗАКЉУЧИВАЊА ПОЈЕДИНАЧНИХ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 xml:space="preserve">УГОВОРА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4.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Након закључења оквирног споразума, када настане потреба Наручиоца за предметом набавке, односно по спроведеној анкети међу родитељима, Наручилац ће са Испоручиоцем закључити појединачни уговор о јавној набавци.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При закључивању уговора о јавној набавци</w:t>
      </w:r>
      <w:r w:rsidRPr="002E5C3A">
        <w:rPr>
          <w:lang w:val="sr-Cyrl-CS"/>
        </w:rPr>
        <w:t xml:space="preserve">, </w:t>
      </w:r>
      <w:r w:rsidRPr="002E5C3A">
        <w:t>не могу се мењати битни услови из овог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5.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Појединачни уговор о јавној набавци се закључује под условима из овог оквирног споразума у погледу предмета набавке, цена, начина и рокова плаћања, рокова испоруке, и друго.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НАЧИН И РОК ПЛАЋАЊА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6.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C3A">
        <w:rPr>
          <w:rFonts w:ascii="Times New Roman" w:hAnsi="Times New Roman" w:cs="Times New Roman"/>
          <w:sz w:val="24"/>
          <w:szCs w:val="24"/>
        </w:rPr>
        <w:t>Плаћање се врши уплатом на рачун Испоручиоца. Рокови плаћања биће дефинисани појединачним уговором о јавној набавци.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  <w:rPr>
          <w:lang w:val="sr-Cyrl-CS"/>
        </w:rPr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РОК ПРУЖАЊА УСЛУГА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7.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Испоручилац се обавезује да пружи и реализује услуге према Програму путовања, који је саставни део конкурсне документације.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Утврђени рокови су фиксни и не могу се мењати без сагласности Наручиоца.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У случају измене програма или делова програма путовања по налогу Наручиоца, Наручилац је дужан да пружаоца услуга обавести најкасније 10 дана пре дана отпочињања реализације екскурзије.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ОБАВЕЗЕ НАРУЧИОЦА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8.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Наручилац је дужан да Испоручиоцу достави списак путника најкасније </w:t>
      </w:r>
      <w:r w:rsidRPr="002E5C3A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2E5C3A">
        <w:rPr>
          <w:rFonts w:ascii="Times New Roman" w:hAnsi="Times New Roman" w:cs="Times New Roman"/>
          <w:sz w:val="24"/>
          <w:szCs w:val="24"/>
        </w:rPr>
        <w:t xml:space="preserve"> дана пре дана отпочињања реализације путовања, односно екскурзије ученика.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Наручилац је дужан да обезбеди </w:t>
      </w:r>
      <w:r w:rsidRPr="002E5C3A">
        <w:rPr>
          <w:rFonts w:ascii="Times New Roman" w:hAnsi="Times New Roman" w:cs="Times New Roman"/>
          <w:bCs/>
          <w:sz w:val="24"/>
          <w:szCs w:val="24"/>
        </w:rPr>
        <w:t>пратеће особље: наставнике и стручног вођу пута.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3A">
        <w:rPr>
          <w:rFonts w:ascii="Times New Roman" w:hAnsi="Times New Roman" w:cs="Times New Roman"/>
          <w:bCs/>
          <w:sz w:val="24"/>
          <w:szCs w:val="24"/>
        </w:rPr>
        <w:t>Наручилац  се обавезује да формира Комисију  за  процену извршене услуге  која  у  року од 10 дана од дана извршења/неизвршења/ делимичног извршења услуге, је дужна да сачини Извештај о извршеној услузи екскурзије.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C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Комисија  за   процену извршене услуге има обавезу да на основу сачињеног Извештаја о извршеној услузи екскурзије и  структуре цене утврди/не утврди  проценат  смањења цене услуге.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ОБАВЕЗЕ ИСПОРУЧИОЦА И ПРИЈЕМ УСЛУГА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9.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Испоручилац се обавезује да уговорене услуге изврши у свему према техничкој  документацији, прописима, стандардима, техничким нормативима и нормама квалитета који важе за уговорену врсту услуга.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Испоручилац преузима потпуну одговорност за квалитет испоручених услуга на основу обострано потписаног уговора, у складу са овим уговором.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Извештај о извршеној узлузи даје Комисија за примопредају услуге, у оквиру  Извештаја Комисије за примопредају услуге, најкасније 10 дана по извршењу услуге.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10.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Испоручилац се обавезује да пружи наведене услуге у складу са важећим прописима, техничким прописима и овим уговором</w:t>
      </w:r>
      <w:r w:rsidRPr="002E5C3A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Испоручилац под пуном моралном, материјалном и кривичном одговорношћу се обавезује: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bCs/>
          <w:sz w:val="24"/>
          <w:szCs w:val="24"/>
        </w:rPr>
        <w:t xml:space="preserve">-  да организује </w:t>
      </w:r>
      <w:r w:rsidRPr="002E5C3A">
        <w:rPr>
          <w:rFonts w:ascii="Times New Roman" w:hAnsi="Times New Roman" w:cs="Times New Roman"/>
          <w:sz w:val="24"/>
          <w:szCs w:val="24"/>
        </w:rPr>
        <w:t>пружање услуга организације путовања према Програму путовања, који је саставни део овог споразума;</w:t>
      </w:r>
      <w:r w:rsidRPr="002E5C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- да обезбеди довољан кадровски и технички капацитет потребан за пружање уговором преузетих обавеза;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- достави Опште услове путовања; 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- да обезбеди лиценциране туристичке водиче -  пратиоце група током путовања и током боравка група на екскурзији;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- да сноси трошкове осигурања;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- да се стара о правима и интересима путника сагласно добрим обичајима и узансама у области туризма;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C3A">
        <w:rPr>
          <w:rFonts w:ascii="Times New Roman" w:hAnsi="Times New Roman" w:cs="Times New Roman"/>
          <w:sz w:val="24"/>
          <w:szCs w:val="24"/>
        </w:rPr>
        <w:t>- да исплати надокнаде наставницима у износу од 400,00 динара дневно, нето, по ученику, на основу стварног бројног стања ученика који су путовали. Исплата накнаде у износу од 50% се исплаћује пре путовања, а 50% након  извршене исплате  наведеног путовања;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- да уредно води све књиге предвиђене законом и другим прописима Републике Србије, који регулишу ову област;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 xml:space="preserve">- да присуствује састанку Комисије за </w:t>
      </w:r>
      <w:r w:rsidRPr="002E5C3A">
        <w:rPr>
          <w:rFonts w:ascii="Times New Roman" w:hAnsi="Times New Roman" w:cs="Times New Roman"/>
          <w:bCs/>
          <w:sz w:val="24"/>
          <w:szCs w:val="24"/>
        </w:rPr>
        <w:t xml:space="preserve"> процену извршене </w:t>
      </w:r>
      <w:r w:rsidRPr="002E5C3A">
        <w:rPr>
          <w:rFonts w:ascii="Times New Roman" w:hAnsi="Times New Roman" w:cs="Times New Roman"/>
          <w:sz w:val="24"/>
          <w:szCs w:val="24"/>
        </w:rPr>
        <w:t xml:space="preserve">услуге; </w:t>
      </w:r>
    </w:p>
    <w:p w:rsidR="00CE539C" w:rsidRPr="002E5C3A" w:rsidRDefault="00CE539C" w:rsidP="00CE539C">
      <w:pPr>
        <w:pStyle w:val="NoSpacing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E5C3A">
        <w:rPr>
          <w:rFonts w:ascii="Times New Roman" w:hAnsi="Times New Roman" w:cs="Times New Roman"/>
          <w:sz w:val="24"/>
          <w:szCs w:val="24"/>
        </w:rPr>
        <w:t>- да испуни све наведено у Програму</w:t>
      </w:r>
      <w:r w:rsidRPr="002E5C3A">
        <w:rPr>
          <w:rFonts w:ascii="Times New Roman" w:hAnsi="Times New Roman" w:cs="Times New Roman"/>
          <w:sz w:val="24"/>
          <w:szCs w:val="24"/>
          <w:lang w:val="sr-Cyrl-CS"/>
        </w:rPr>
        <w:t xml:space="preserve"> путовања</w:t>
      </w:r>
      <w:r w:rsidRPr="002E5C3A">
        <w:rPr>
          <w:rFonts w:ascii="Times New Roman" w:hAnsi="Times New Roman" w:cs="Times New Roman"/>
          <w:sz w:val="24"/>
          <w:szCs w:val="24"/>
        </w:rPr>
        <w:t>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УГОВОРНА КАЗНА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11..</w:t>
      </w:r>
    </w:p>
    <w:p w:rsidR="00CE539C" w:rsidRPr="002E5C3A" w:rsidRDefault="00CE539C" w:rsidP="00CE539C">
      <w:pPr>
        <w:shd w:val="clear" w:color="auto" w:fill="FFFFFF"/>
        <w:jc w:val="both"/>
        <w:rPr>
          <w:bCs/>
        </w:rPr>
      </w:pPr>
      <w:r w:rsidRPr="002E5C3A">
        <w:rPr>
          <w:bCs/>
        </w:rPr>
        <w:t>Уколико Испоручилац не пружи уговорене услуге у уговореном року, дужан је да плати Наручиоцу уговорну казну у висини 0,5</w:t>
      </w:r>
      <w:r w:rsidRPr="002E5C3A">
        <w:t>%</w:t>
      </w:r>
      <w:r w:rsidRPr="002E5C3A">
        <w:rPr>
          <w:bCs/>
        </w:rPr>
        <w:t xml:space="preserve"> од укупно уговорене вредности за сваки дан закашњења, с тим што укупан износ казне не може бити већи од 10% од вредности укупно уговорених услуга.</w:t>
      </w:r>
    </w:p>
    <w:p w:rsidR="00CE539C" w:rsidRPr="002E5C3A" w:rsidRDefault="00CE539C" w:rsidP="00CE539C">
      <w:pPr>
        <w:shd w:val="clear" w:color="auto" w:fill="FFFFFF"/>
        <w:jc w:val="both"/>
        <w:rPr>
          <w:bCs/>
        </w:rPr>
      </w:pPr>
      <w:r w:rsidRPr="002E5C3A">
        <w:rPr>
          <w:bCs/>
        </w:rPr>
        <w:t>Наплату уговорне казне Наручилац ће извршити, без претходног пристанка Пружаоца услуга, умањењем рачуна наведеног у испостављеној фактури.</w:t>
      </w:r>
    </w:p>
    <w:p w:rsidR="00CE539C" w:rsidRPr="002E5C3A" w:rsidRDefault="00CE539C" w:rsidP="00CE539C">
      <w:pPr>
        <w:shd w:val="clear" w:color="auto" w:fill="FFFFFF"/>
        <w:jc w:val="both"/>
        <w:rPr>
          <w:bCs/>
          <w:iCs/>
        </w:rPr>
      </w:pPr>
      <w:r w:rsidRPr="002E5C3A">
        <w:t xml:space="preserve">Наручилац ће уновчити меницу за добро извршење посла, ако се не реализује или делимично реализује нека од услуга наведених у структури цене </w:t>
      </w:r>
      <w:r w:rsidRPr="002E5C3A">
        <w:rPr>
          <w:bCs/>
          <w:iCs/>
        </w:rPr>
        <w:t xml:space="preserve">на основу Извештаја </w:t>
      </w:r>
      <w:r w:rsidRPr="002E5C3A">
        <w:rPr>
          <w:bCs/>
        </w:rPr>
        <w:t xml:space="preserve">о извршеној услузи екскурзије који сачињава </w:t>
      </w:r>
      <w:r w:rsidRPr="002E5C3A">
        <w:rPr>
          <w:bCs/>
          <w:iCs/>
        </w:rPr>
        <w:t xml:space="preserve">Комисија </w:t>
      </w:r>
      <w:r w:rsidRPr="002E5C3A">
        <w:rPr>
          <w:bCs/>
        </w:rPr>
        <w:t xml:space="preserve">за процену извршене услуге.  </w:t>
      </w:r>
    </w:p>
    <w:p w:rsidR="00CE539C" w:rsidRPr="002E5C3A" w:rsidRDefault="00CE539C" w:rsidP="00CE539C">
      <w:pPr>
        <w:shd w:val="clear" w:color="auto" w:fill="FFFFFF"/>
        <w:jc w:val="both"/>
        <w:rPr>
          <w:bCs/>
        </w:rPr>
      </w:pPr>
      <w:r w:rsidRPr="002E5C3A">
        <w:rPr>
          <w:bCs/>
          <w:iCs/>
        </w:rPr>
        <w:lastRenderedPageBreak/>
        <w:t xml:space="preserve">Ако Испоручилац не реализује или делимично реализује услугу која није евидентирана у структури цене, а предвиђена је Програмом Наручиоца, Наручилац има право да 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Извештаја </w:t>
      </w:r>
      <w:r w:rsidRPr="002E5C3A">
        <w:rPr>
          <w:bCs/>
        </w:rPr>
        <w:t xml:space="preserve">о извршеној услузи екскурзије који сачињава </w:t>
      </w:r>
      <w:r w:rsidRPr="002E5C3A">
        <w:rPr>
          <w:bCs/>
          <w:iCs/>
        </w:rPr>
        <w:t xml:space="preserve">Комисија </w:t>
      </w:r>
      <w:r w:rsidRPr="002E5C3A">
        <w:rPr>
          <w:bCs/>
        </w:rPr>
        <w:t xml:space="preserve">за процену извршене  услуге. 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СРЕДСТВА ОБЕЗБЕЂЕЊА - ОКВИРНИ СПОРАЗУМ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12.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Испоручилац се обавезује да, у року од 7 дана од дана закључења овог оквирног споразума, преда Наручиоцу 1 (једну) бланко сопствену меницу, као обезбеђење за добро извршење посла, која мора бити евидентирана у Регистру меница и овлашћења Народне банке Србије.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Уз меницу мора бити достављена копија картона депонованих потписа који је издатa од стране пословне банке коју Испоручилац наводи у меничном овлашћењу – писму.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Рок важења менице је 3 (три) месеца од обостраног потписивања овог оквирног споразума.</w:t>
      </w:r>
    </w:p>
    <w:p w:rsidR="00CE539C" w:rsidRPr="002E5C3A" w:rsidRDefault="00CE539C" w:rsidP="00CE539C">
      <w:pPr>
        <w:shd w:val="clear" w:color="auto" w:fill="FFFFFF"/>
        <w:tabs>
          <w:tab w:val="left" w:pos="0"/>
        </w:tabs>
        <w:jc w:val="both"/>
        <w:rPr>
          <w:rFonts w:eastAsia="TimesNewRomanPSMT"/>
          <w:bCs/>
          <w:iCs/>
        </w:rPr>
      </w:pPr>
      <w:r w:rsidRPr="002E5C3A">
        <w:rPr>
          <w:rFonts w:eastAsia="TimesNewRomanPSMT"/>
          <w:bCs/>
          <w:iCs/>
        </w:rPr>
        <w:t>Наручилац ће уновчити дату меницу уколико Испоручилац:</w:t>
      </w:r>
    </w:p>
    <w:p w:rsidR="00CE539C" w:rsidRPr="002E5C3A" w:rsidRDefault="00CE539C" w:rsidP="00CE539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40" w:lineRule="auto"/>
        <w:contextualSpacing/>
        <w:jc w:val="both"/>
        <w:rPr>
          <w:iCs/>
        </w:rPr>
      </w:pPr>
      <w:r w:rsidRPr="002E5C3A">
        <w:rPr>
          <w:iCs/>
        </w:rPr>
        <w:t>не закључи појединачни уговор у складу са овим оквирним споразумом или</w:t>
      </w:r>
      <w:r w:rsidRPr="002E5C3A">
        <w:t xml:space="preserve">;  </w:t>
      </w:r>
    </w:p>
    <w:p w:rsidR="00CE539C" w:rsidRPr="002E5C3A" w:rsidRDefault="00CE539C" w:rsidP="00CE539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40" w:lineRule="auto"/>
        <w:contextualSpacing/>
        <w:jc w:val="both"/>
        <w:rPr>
          <w:iCs/>
        </w:rPr>
      </w:pPr>
      <w:r w:rsidRPr="002E5C3A">
        <w:rPr>
          <w:iCs/>
        </w:rPr>
        <w:t xml:space="preserve">не достави средство обезбеђења уз појединачни уговор који Наручилац и </w:t>
      </w:r>
      <w:r w:rsidRPr="002E5C3A">
        <w:t>Испоручилац</w:t>
      </w:r>
      <w:r w:rsidRPr="002E5C3A">
        <w:rPr>
          <w:iCs/>
        </w:rPr>
        <w:t xml:space="preserve"> закључе по основу оквирног споразума.</w:t>
      </w:r>
    </w:p>
    <w:p w:rsidR="00CE539C" w:rsidRPr="002E5C3A" w:rsidRDefault="00CE539C" w:rsidP="00CE539C">
      <w:pPr>
        <w:pStyle w:val="ListParagraph"/>
        <w:shd w:val="clear" w:color="auto" w:fill="FFFFFF"/>
        <w:tabs>
          <w:tab w:val="left" w:pos="0"/>
        </w:tabs>
        <w:suppressAutoHyphens w:val="0"/>
        <w:spacing w:line="240" w:lineRule="auto"/>
        <w:ind w:left="0"/>
        <w:contextualSpacing/>
        <w:jc w:val="both"/>
        <w:rPr>
          <w:iCs/>
        </w:rPr>
      </w:pPr>
    </w:p>
    <w:p w:rsidR="00CE539C" w:rsidRPr="002E5C3A" w:rsidRDefault="00CE539C" w:rsidP="00CE539C">
      <w:pPr>
        <w:shd w:val="clear" w:color="auto" w:fill="FFFFFF"/>
        <w:tabs>
          <w:tab w:val="left" w:pos="0"/>
        </w:tabs>
        <w:jc w:val="center"/>
        <w:rPr>
          <w:rFonts w:eastAsia="TimesNewRomanPSMT"/>
          <w:bCs/>
          <w:iCs/>
        </w:rPr>
      </w:pPr>
      <w:r w:rsidRPr="002E5C3A">
        <w:rPr>
          <w:rFonts w:eastAsia="TimesNewRomanPSMT"/>
          <w:bCs/>
          <w:iCs/>
        </w:rPr>
        <w:t>СРЕДСТВА ОБЕЗБЕЂЕЊА - ПОЈЕДИНАЧНИ УГОВОРИ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13.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Испоручилац се обавезује да, у року од 7 дана од дана закључења појединачног уговора по оквирном споразуму, преда Наручиоцу 1 (једну) бланко сопствену меницу, као обезбеђење за добро извршење посла, која мора бити евидентирана у Регистру меница и овлашћења Народне банке Србије.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уговора.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Уз меницу мора бити достављена копија картона депонованих потписа који је издат од стране пословне банке коју Испоручилац наводи у меничном овлашћењу – писму.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Рок важења менице је 30 (тридесет) дана од дана предвиђеног за извршење обавеза испоручиоца.</w:t>
      </w:r>
    </w:p>
    <w:p w:rsidR="00CE539C" w:rsidRPr="002E5C3A" w:rsidRDefault="00CE539C" w:rsidP="00CE539C">
      <w:pPr>
        <w:shd w:val="clear" w:color="auto" w:fill="FFFFFF"/>
        <w:tabs>
          <w:tab w:val="left" w:pos="0"/>
        </w:tabs>
        <w:jc w:val="both"/>
        <w:rPr>
          <w:rFonts w:eastAsia="TimesNewRomanPSMT"/>
          <w:bCs/>
          <w:iCs/>
        </w:rPr>
      </w:pPr>
      <w:r w:rsidRPr="002E5C3A">
        <w:rPr>
          <w:rFonts w:eastAsia="TimesNewRomanPSMT"/>
          <w:bCs/>
          <w:iCs/>
        </w:rPr>
        <w:t>Наручилац ће уновчити дату меницу уколико Испоручилац:</w:t>
      </w:r>
    </w:p>
    <w:p w:rsidR="00CE539C" w:rsidRPr="002E5C3A" w:rsidRDefault="00CE539C" w:rsidP="00CE539C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40" w:lineRule="auto"/>
        <w:contextualSpacing/>
        <w:jc w:val="both"/>
        <w:rPr>
          <w:iCs/>
        </w:rPr>
      </w:pPr>
      <w:r w:rsidRPr="002E5C3A">
        <w:rPr>
          <w:iCs/>
        </w:rPr>
        <w:t>не буде извршавао своје обавезе у роковима и на начин предвиђен уговором</w:t>
      </w:r>
      <w:r w:rsidRPr="002E5C3A">
        <w:t>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rPr>
          <w:lang w:val="sr-Cyrl-CS"/>
        </w:rPr>
      </w:pP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ВИША СИЛА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14.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Уколико после закључења овог </w:t>
      </w:r>
      <w:r w:rsidRPr="002E5C3A">
        <w:rPr>
          <w:lang w:val="sr-Cyrl-CS"/>
        </w:rPr>
        <w:t>споразума</w:t>
      </w:r>
      <w:r w:rsidRPr="002E5C3A">
        <w:t xml:space="preserve"> наступе околности више силе, који доведу до ометања или онемогућавања извршења обавеза дефинисаних оквирним споразумом, рокови извршења обавеза се неће продужити за време трајања више силе.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lastRenderedPageBreak/>
        <w:t xml:space="preserve"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 увоза и извоза) и слично.</w:t>
      </w:r>
      <w:r w:rsidRPr="002E5C3A">
        <w:tab/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ПОСЕБНЕ И ЗАВРШНЕ ОДРЕДБЕ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15.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16.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Све спорове који проистекну у реализацији овог оквирног споразума стране у овом оквирном споразуму ће решавати споразумно.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У случају да споразум није могућ, спор ће решавати надлежни суд.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 xml:space="preserve"> 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center"/>
      </w:pPr>
      <w:r w:rsidRPr="002E5C3A">
        <w:t>Члан 17.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  <w:r w:rsidRPr="002E5C3A">
        <w:t>Овај Оквирни споразум је сачињен у 4 (четири) истоветна примерка, од којих Наручиоцу припада 2 (два), а Испоручиоцу 2 (два) примерка.</w:t>
      </w:r>
    </w:p>
    <w:p w:rsidR="00CE539C" w:rsidRPr="002E5C3A" w:rsidRDefault="00CE539C" w:rsidP="00CE539C">
      <w:pPr>
        <w:shd w:val="clear" w:color="auto" w:fill="FFFFFF"/>
        <w:tabs>
          <w:tab w:val="left" w:pos="4455"/>
        </w:tabs>
        <w:jc w:val="both"/>
      </w:pPr>
    </w:p>
    <w:p w:rsidR="00CE539C" w:rsidRPr="002E5C3A" w:rsidRDefault="00CE539C" w:rsidP="00CE539C">
      <w:pPr>
        <w:jc w:val="both"/>
        <w:rPr>
          <w:lang w:val="sr-Cyrl-CS"/>
        </w:rPr>
      </w:pPr>
      <w:r w:rsidRPr="002E5C3A">
        <w:rPr>
          <w:lang w:val="sr-Cyrl-CS"/>
        </w:rPr>
        <w:t>ЗА НАРУЧИОЦА:                                                                                 ЗА ИСПОРУЧИОЦА:</w:t>
      </w:r>
    </w:p>
    <w:p w:rsidR="00CE539C" w:rsidRPr="002E5C3A" w:rsidRDefault="00CE539C" w:rsidP="00CE539C">
      <w:pPr>
        <w:jc w:val="both"/>
        <w:rPr>
          <w:lang w:val="sr-Cyrl-CS"/>
        </w:rPr>
      </w:pPr>
      <w:r w:rsidRPr="002E5C3A">
        <w:rPr>
          <w:lang w:val="sr-Cyrl-CS"/>
        </w:rPr>
        <w:t>Ђорђе Цвијановић, директор</w:t>
      </w: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>
      <w:pPr>
        <w:shd w:val="clear" w:color="auto" w:fill="FFFFFF"/>
        <w:jc w:val="both"/>
      </w:pPr>
    </w:p>
    <w:p w:rsidR="00CE539C" w:rsidRPr="002E5C3A" w:rsidRDefault="00CE539C" w:rsidP="00CE539C"/>
    <w:p w:rsidR="00E46B08" w:rsidRDefault="00E46B08"/>
    <w:sectPr w:rsidR="00E46B08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7530"/>
    <w:multiLevelType w:val="hybridMultilevel"/>
    <w:tmpl w:val="1F705BCE"/>
    <w:lvl w:ilvl="0" w:tplc="9F529F8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539C"/>
    <w:rsid w:val="00285828"/>
    <w:rsid w:val="00424886"/>
    <w:rsid w:val="004820AA"/>
    <w:rsid w:val="00517980"/>
    <w:rsid w:val="005A0400"/>
    <w:rsid w:val="006407AC"/>
    <w:rsid w:val="006C3F12"/>
    <w:rsid w:val="006F0B5C"/>
    <w:rsid w:val="00847D64"/>
    <w:rsid w:val="008C1589"/>
    <w:rsid w:val="00A43F40"/>
    <w:rsid w:val="00C24A77"/>
    <w:rsid w:val="00C84BFB"/>
    <w:rsid w:val="00CA38A0"/>
    <w:rsid w:val="00CE539C"/>
    <w:rsid w:val="00E058C2"/>
    <w:rsid w:val="00E46B08"/>
    <w:rsid w:val="00E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9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39C"/>
    <w:pPr>
      <w:ind w:left="720"/>
    </w:pPr>
  </w:style>
  <w:style w:type="paragraph" w:styleId="NoSpacing">
    <w:name w:val="No Spacing"/>
    <w:uiPriority w:val="1"/>
    <w:qFormat/>
    <w:rsid w:val="00CE539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bold">
    <w:name w:val="bold"/>
    <w:basedOn w:val="DefaultParagraphFont"/>
    <w:rsid w:val="00CE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2019-03-19T11:50:00Z</dcterms:created>
  <dcterms:modified xsi:type="dcterms:W3CDTF">2019-03-19T11:52:00Z</dcterms:modified>
</cp:coreProperties>
</file>